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4E2F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3262A" wp14:editId="731C0A2C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002301" w:rsidRDefault="00002301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CCSS Grade 7</w:t>
                            </w:r>
                          </w:p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002301" w:rsidRDefault="00002301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CCSS Grade 7</w:t>
                      </w:r>
                    </w:p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5F08FF" wp14:editId="6BE8DB07">
                <wp:simplePos x="0" y="0"/>
                <wp:positionH relativeFrom="column">
                  <wp:posOffset>1649730</wp:posOffset>
                </wp:positionH>
                <wp:positionV relativeFrom="paragraph">
                  <wp:posOffset>-42545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Measurement Topic: </w:t>
                            </w:r>
                          </w:p>
                          <w:p w:rsidR="00002301" w:rsidRDefault="00002301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Module 6: Geometry</w:t>
                            </w:r>
                          </w:p>
                          <w:p w:rsidR="00B65C78" w:rsidRPr="004A207A" w:rsidRDefault="00B65C78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9.9pt;margin-top:-3.35pt;width:5in;height:45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" strokeweight="3pt">
                <v:stroke linestyle="thinThin"/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Measurement Topic: </w:t>
                      </w:r>
                    </w:p>
                    <w:p w:rsidR="00002301" w:rsidRDefault="00002301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Module 6: Geometry</w:t>
                      </w:r>
                    </w:p>
                    <w:p w:rsidR="00B65C78" w:rsidRPr="004A207A" w:rsidRDefault="00B65C78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784D1" wp14:editId="0A1F27B6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002301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L2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002301" w:rsidRDefault="00002301" w:rsidP="00002301">
            <w:r w:rsidRPr="00002301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2301">
              <w:rPr>
                <w:b/>
                <w:bCs/>
                <w:sz w:val="20"/>
                <w:szCs w:val="20"/>
              </w:rPr>
              <w:t>LWBAT</w:t>
            </w:r>
            <w:r w:rsidR="004371F7">
              <w:rPr>
                <w:b/>
                <w:bCs/>
                <w:sz w:val="20"/>
                <w:szCs w:val="20"/>
              </w:rPr>
              <w:t>U</w:t>
            </w:r>
            <w:r w:rsidRPr="00002301">
              <w:rPr>
                <w:b/>
                <w:bCs/>
                <w:sz w:val="20"/>
                <w:szCs w:val="20"/>
              </w:rPr>
              <w:t xml:space="preserve">- </w:t>
            </w:r>
            <w:r w:rsidRPr="00E61AB0">
              <w:t xml:space="preserve"> </w:t>
            </w:r>
            <w:r w:rsidRPr="008A6714">
              <w:t>angles, angle measure, dimensions, acute, obtuse, right, protractor, scale drawing, scale, plane, perpendicular, base</w:t>
            </w:r>
            <w:r w:rsidRPr="00E61AB0">
              <w:t xml:space="preserve"> radius, diameter, circumference, area, pi (π), circle, diameter</w:t>
            </w:r>
            <w:r>
              <w:t xml:space="preserve">, </w:t>
            </w:r>
            <w:r w:rsidRPr="00E61AB0">
              <w:t>supplementary angles, complementary angles, vertical angles, adjacent angles, linear pairs of angles</w:t>
            </w:r>
            <w:r>
              <w:t xml:space="preserve">, </w:t>
            </w:r>
            <w:r w:rsidRPr="00E61AB0">
              <w:t>length, width, height, altitude, area, surface area, volume, triangle, quadrilateral, square, rectangle, parallelogram, trapezoid, cube, right prism</w:t>
            </w: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486EDF" w:rsidRPr="004E2F4C" w:rsidRDefault="00BC5436" w:rsidP="005E63A5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002301">
              <w:rPr>
                <w:b/>
                <w:bCs/>
                <w:sz w:val="20"/>
                <w:szCs w:val="20"/>
              </w:rPr>
              <w:t>LWBAT-</w:t>
            </w:r>
            <w:r w:rsidR="00002301" w:rsidRPr="008A6714">
              <w:t xml:space="preserve"> Solve problems involving scale drawings of geometric figures, including computing actual lengths and areas from a scale drawing and reproducing a scale drawing at a different scale.  </w:t>
            </w:r>
            <w:r w:rsidR="00002301" w:rsidRPr="008A6714">
              <w:rPr>
                <w:b/>
              </w:rPr>
              <w:t>(M.7.G.1)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161BD1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7.5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002301" w:rsidRDefault="00BC5436" w:rsidP="00002301"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002301">
              <w:rPr>
                <w:b/>
                <w:bCs/>
                <w:sz w:val="20"/>
                <w:szCs w:val="20"/>
              </w:rPr>
              <w:t>LWBAT-</w:t>
            </w:r>
            <w:r w:rsidR="00002301" w:rsidRPr="00E61AB0">
              <w:t xml:space="preserve"> Know the formulas for the area and circumference of a circle and use them to solve problems; give an informal derivation of the relationship between the circumference and area of a circle. </w:t>
            </w:r>
            <w:r w:rsidR="00002301" w:rsidRPr="00E61AB0">
              <w:rPr>
                <w:b/>
              </w:rPr>
              <w:t>(M.7.G.4)</w:t>
            </w:r>
            <w:r w:rsidR="00002301" w:rsidRPr="00E61AB0">
              <w:t xml:space="preserve">  </w:t>
            </w:r>
          </w:p>
          <w:p w:rsidR="005E63A5" w:rsidRPr="00BC5436" w:rsidRDefault="005E63A5" w:rsidP="005E63A5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  <w:p w:rsidR="00486EDF" w:rsidRPr="00BC5436" w:rsidRDefault="00486EDF" w:rsidP="00BC5436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161BD1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8.1, 8.2, 8.3, 9.3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#4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002301" w:rsidRDefault="005E63A5" w:rsidP="00002301">
            <w:r>
              <w:rPr>
                <w:b/>
                <w:bCs/>
                <w:sz w:val="20"/>
                <w:szCs w:val="20"/>
              </w:rPr>
              <w:t xml:space="preserve">4.  </w:t>
            </w:r>
            <w:r w:rsidR="00002301">
              <w:rPr>
                <w:b/>
                <w:bCs/>
                <w:sz w:val="20"/>
                <w:szCs w:val="20"/>
              </w:rPr>
              <w:t xml:space="preserve">LWBAT- </w:t>
            </w:r>
            <w:r w:rsidR="00002301" w:rsidRPr="00E61AB0">
              <w:t xml:space="preserve">Use facts about supplementary, complementary, </w:t>
            </w:r>
            <w:proofErr w:type="gramStart"/>
            <w:r w:rsidR="00002301" w:rsidRPr="00E61AB0">
              <w:t>vertical,</w:t>
            </w:r>
            <w:proofErr w:type="gramEnd"/>
            <w:r w:rsidR="00002301" w:rsidRPr="00E61AB0">
              <w:t xml:space="preserve"> and adjacent angles in a multi-step problem to write and solve simple equations for an unknown angle in a figure. </w:t>
            </w:r>
            <w:r w:rsidR="00002301" w:rsidRPr="00E61AB0">
              <w:rPr>
                <w:b/>
              </w:rPr>
              <w:t>(M.7.G.5)</w:t>
            </w:r>
            <w:r w:rsidR="00002301" w:rsidRPr="00E61AB0">
              <w:t xml:space="preserve">   </w:t>
            </w:r>
          </w:p>
          <w:p w:rsidR="005E63A5" w:rsidRPr="004E2F4C" w:rsidRDefault="005E63A5" w:rsidP="005E63A5">
            <w:pPr>
              <w:tabs>
                <w:tab w:val="left" w:pos="2250"/>
              </w:tabs>
              <w:rPr>
                <w:rFonts w:asciiTheme="minorHAnsi" w:hAnsiTheme="minorHAnsi" w:cstheme="minorHAnsi"/>
                <w:noProof/>
              </w:rPr>
            </w:pP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161BD1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7.1, 7.2, Extension 7.3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#5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486EDF" w:rsidRDefault="00BC5436" w:rsidP="00BC54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 w:rsidR="00002301">
              <w:rPr>
                <w:b/>
                <w:bCs/>
                <w:sz w:val="20"/>
                <w:szCs w:val="20"/>
              </w:rPr>
              <w:t xml:space="preserve"> LWBAT- </w:t>
            </w:r>
            <w:r w:rsidR="00002301" w:rsidRPr="00E61AB0">
              <w:t xml:space="preserve"> Solve real-world and mathematical problems involving area, volume and surface area of two- and three-dimensional objects composed of triangles, quadrilaterals, polygons, cubes, and right prisms. </w:t>
            </w:r>
            <w:r w:rsidR="00002301" w:rsidRPr="00E61AB0">
              <w:rPr>
                <w:b/>
              </w:rPr>
              <w:t>(M.7.G.6)</w:t>
            </w:r>
          </w:p>
          <w:p w:rsidR="00B023AE" w:rsidRDefault="00B023AE" w:rsidP="00BC5436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B023AE" w:rsidRPr="00B023AE" w:rsidRDefault="00B023AE" w:rsidP="00BC54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D41FB4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8.4, 9.1, 9.2, 9.4, 9.5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D83F2F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57B"/>
    <w:multiLevelType w:val="hybridMultilevel"/>
    <w:tmpl w:val="F02684C2"/>
    <w:lvl w:ilvl="0" w:tplc="336AE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6F41"/>
    <w:multiLevelType w:val="hybridMultilevel"/>
    <w:tmpl w:val="E4DEAB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216B8"/>
    <w:multiLevelType w:val="hybridMultilevel"/>
    <w:tmpl w:val="B160489C"/>
    <w:lvl w:ilvl="0" w:tplc="2D322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A1C9C"/>
    <w:multiLevelType w:val="hybridMultilevel"/>
    <w:tmpl w:val="9C0A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1EA64F9"/>
    <w:multiLevelType w:val="hybridMultilevel"/>
    <w:tmpl w:val="FDAA312E"/>
    <w:lvl w:ilvl="0" w:tplc="95CC4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02301"/>
    <w:rsid w:val="0001437B"/>
    <w:rsid w:val="00045586"/>
    <w:rsid w:val="00053376"/>
    <w:rsid w:val="0005543D"/>
    <w:rsid w:val="000911F0"/>
    <w:rsid w:val="00153258"/>
    <w:rsid w:val="00161BD1"/>
    <w:rsid w:val="001667FA"/>
    <w:rsid w:val="001A13F1"/>
    <w:rsid w:val="001D2038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589D"/>
    <w:rsid w:val="00321AAA"/>
    <w:rsid w:val="00333757"/>
    <w:rsid w:val="00337E7D"/>
    <w:rsid w:val="0037666E"/>
    <w:rsid w:val="00380D16"/>
    <w:rsid w:val="0038437A"/>
    <w:rsid w:val="003D5C63"/>
    <w:rsid w:val="00412CB3"/>
    <w:rsid w:val="00416692"/>
    <w:rsid w:val="004371F7"/>
    <w:rsid w:val="00457A17"/>
    <w:rsid w:val="004624E5"/>
    <w:rsid w:val="00486EDF"/>
    <w:rsid w:val="00496DC7"/>
    <w:rsid w:val="004D1B06"/>
    <w:rsid w:val="004E2561"/>
    <w:rsid w:val="004E296F"/>
    <w:rsid w:val="004E2F4C"/>
    <w:rsid w:val="004F6620"/>
    <w:rsid w:val="00542777"/>
    <w:rsid w:val="005679AC"/>
    <w:rsid w:val="005E63A5"/>
    <w:rsid w:val="005F07F1"/>
    <w:rsid w:val="006467C1"/>
    <w:rsid w:val="00655166"/>
    <w:rsid w:val="00675E99"/>
    <w:rsid w:val="00686E98"/>
    <w:rsid w:val="006936CE"/>
    <w:rsid w:val="00737739"/>
    <w:rsid w:val="00756747"/>
    <w:rsid w:val="007B7ED6"/>
    <w:rsid w:val="007C2933"/>
    <w:rsid w:val="007D29B6"/>
    <w:rsid w:val="00804452"/>
    <w:rsid w:val="00911DBA"/>
    <w:rsid w:val="00952705"/>
    <w:rsid w:val="009A5983"/>
    <w:rsid w:val="009F3C86"/>
    <w:rsid w:val="00A023D8"/>
    <w:rsid w:val="00A15A23"/>
    <w:rsid w:val="00A55E90"/>
    <w:rsid w:val="00A937C6"/>
    <w:rsid w:val="00A978BD"/>
    <w:rsid w:val="00AA060D"/>
    <w:rsid w:val="00AB22EC"/>
    <w:rsid w:val="00AD73C0"/>
    <w:rsid w:val="00AF704F"/>
    <w:rsid w:val="00B023AE"/>
    <w:rsid w:val="00B02A0F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5606F"/>
    <w:rsid w:val="00C7091B"/>
    <w:rsid w:val="00CB21FD"/>
    <w:rsid w:val="00D37596"/>
    <w:rsid w:val="00D41FB4"/>
    <w:rsid w:val="00D434C4"/>
    <w:rsid w:val="00D83F2F"/>
    <w:rsid w:val="00D855C9"/>
    <w:rsid w:val="00E32DED"/>
    <w:rsid w:val="00E459CA"/>
    <w:rsid w:val="00EA1B42"/>
    <w:rsid w:val="00EB6C04"/>
    <w:rsid w:val="00ED6B82"/>
    <w:rsid w:val="00F31B38"/>
    <w:rsid w:val="00F54E21"/>
    <w:rsid w:val="00FC0DA8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EDB4-D858-413E-9EF9-56B34781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6</cp:revision>
  <cp:lastPrinted>2015-08-07T16:23:00Z</cp:lastPrinted>
  <dcterms:created xsi:type="dcterms:W3CDTF">2014-08-07T22:13:00Z</dcterms:created>
  <dcterms:modified xsi:type="dcterms:W3CDTF">2015-08-07T16:23:00Z</dcterms:modified>
</cp:coreProperties>
</file>