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397D97" w:rsidRDefault="00397D97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CCSS Grade 6</w:t>
                            </w:r>
                          </w:p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397D97" w:rsidRDefault="00397D97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CCSS Grade 6</w:t>
                      </w:r>
                    </w:p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397D97" w:rsidRDefault="00397D97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Module 3: Ratios and Proportional Relationships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397D97" w:rsidRDefault="00397D97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Module 3: </w:t>
                      </w: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Ratios and Proportional Relationships</w:t>
                      </w:r>
                      <w:bookmarkEnd w:id="1"/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BC5436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E2F4C" w:rsidRDefault="00BC5436" w:rsidP="005E63A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397D97">
              <w:t xml:space="preserve"> LWKVT- </w:t>
            </w:r>
            <w:r w:rsidR="00397D97" w:rsidRPr="00397D97">
              <w:rPr>
                <w:bCs/>
                <w:sz w:val="20"/>
                <w:szCs w:val="20"/>
              </w:rPr>
              <w:t>ratio, equivalent, unit rate, percent, tape diagram, double number line diagram, table of equivalent ratios, coordinate plane, equivalent ratio, tape diagra</w:t>
            </w:r>
            <w:r w:rsidR="00397D97">
              <w:rPr>
                <w:bCs/>
                <w:sz w:val="20"/>
                <w:szCs w:val="20"/>
              </w:rPr>
              <w:t>ms, double number line diagrams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Pr="004E2F4C" w:rsidRDefault="00BC5436" w:rsidP="005E63A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397D97">
              <w:rPr>
                <w:b/>
                <w:bCs/>
                <w:sz w:val="20"/>
                <w:szCs w:val="20"/>
              </w:rPr>
              <w:t>LWBAT</w:t>
            </w:r>
            <w:proofErr w:type="gramStart"/>
            <w:r w:rsidR="00397D97">
              <w:rPr>
                <w:b/>
                <w:bCs/>
                <w:sz w:val="20"/>
                <w:szCs w:val="20"/>
              </w:rPr>
              <w:t xml:space="preserve">- </w:t>
            </w:r>
            <w:r w:rsidR="00397D97">
              <w:t xml:space="preserve"> </w:t>
            </w:r>
            <w:r w:rsidR="00397D97" w:rsidRPr="00397D97">
              <w:rPr>
                <w:bCs/>
                <w:sz w:val="20"/>
                <w:szCs w:val="20"/>
              </w:rPr>
              <w:t>Solve</w:t>
            </w:r>
            <w:proofErr w:type="gramEnd"/>
            <w:r w:rsidR="00397D97" w:rsidRPr="00397D97">
              <w:rPr>
                <w:bCs/>
                <w:sz w:val="20"/>
                <w:szCs w:val="20"/>
              </w:rPr>
              <w:t xml:space="preserve"> unit rate problems including those involving unit pricing and constant speed</w:t>
            </w:r>
            <w:r w:rsidR="00397D97" w:rsidRPr="00397D97">
              <w:rPr>
                <w:b/>
                <w:bCs/>
                <w:sz w:val="20"/>
                <w:szCs w:val="20"/>
              </w:rPr>
              <w:t>. (M.6.RP.3b)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8B4A0E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</w:t>
            </w:r>
            <w:r>
              <w:rPr>
                <w:rFonts w:asciiTheme="majorHAnsi" w:hAnsiTheme="majorHAnsi"/>
              </w:rPr>
              <w:t>:  5.3, 5.4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BC5436" w:rsidRDefault="00BC5436" w:rsidP="005E63A5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397D97">
              <w:t xml:space="preserve"> LWBAT-</w:t>
            </w:r>
            <w:r w:rsidR="00397D97" w:rsidRPr="00397D97">
              <w:rPr>
                <w:bCs/>
                <w:sz w:val="20"/>
                <w:szCs w:val="20"/>
              </w:rPr>
              <w:t>Find a percent of a quantity as a rate per 100.  Solve problems involving finding the whole, given a part and the percent.</w:t>
            </w:r>
            <w:r w:rsidR="00397D97" w:rsidRPr="00397D97">
              <w:rPr>
                <w:b/>
                <w:bCs/>
                <w:sz w:val="20"/>
                <w:szCs w:val="20"/>
              </w:rPr>
              <w:t xml:space="preserve">  (M.6.RP.3c)</w:t>
            </w:r>
          </w:p>
          <w:p w:rsidR="00486EDF" w:rsidRPr="00BC5436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8B4A0E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</w:t>
            </w:r>
            <w:r>
              <w:rPr>
                <w:rFonts w:asciiTheme="majorHAnsi" w:hAnsiTheme="majorHAnsi"/>
              </w:rPr>
              <w:t>:  5.5, 5.6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E2F4C" w:rsidRDefault="005E63A5" w:rsidP="005E63A5">
            <w:pPr>
              <w:tabs>
                <w:tab w:val="left" w:pos="2250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bCs/>
                <w:sz w:val="20"/>
                <w:szCs w:val="20"/>
              </w:rPr>
              <w:t xml:space="preserve">4.  </w:t>
            </w:r>
            <w:r w:rsidR="00397D97">
              <w:rPr>
                <w:b/>
                <w:bCs/>
                <w:sz w:val="20"/>
                <w:szCs w:val="20"/>
              </w:rPr>
              <w:t xml:space="preserve">LWBAT- </w:t>
            </w:r>
            <w:r w:rsidR="00397D97" w:rsidRPr="00F372AA">
              <w:rPr>
                <w:rFonts w:cstheme="minorHAnsi"/>
              </w:rPr>
              <w:t xml:space="preserve">Use ratio reasoning to convert measurement units; manipulate and transform units appropriately when multiplying or dividing quantities. </w:t>
            </w:r>
            <w:r w:rsidR="00397D97" w:rsidRPr="00F372AA">
              <w:rPr>
                <w:rFonts w:cstheme="minorHAnsi"/>
                <w:b/>
              </w:rPr>
              <w:t>(</w:t>
            </w:r>
            <w:r w:rsidR="00397D97">
              <w:rPr>
                <w:rFonts w:cstheme="minorHAnsi"/>
                <w:b/>
              </w:rPr>
              <w:t>M.</w:t>
            </w:r>
            <w:r w:rsidR="00397D97" w:rsidRPr="00F372AA">
              <w:rPr>
                <w:rFonts w:cstheme="minorHAnsi"/>
                <w:b/>
              </w:rPr>
              <w:t>6.RP.3d)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8B4A0E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Journal:  5.7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97D97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8B4A0E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37596"/>
    <w:rsid w:val="00D434C4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6F53-7076-4F5D-8FEC-89980984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3</cp:revision>
  <cp:lastPrinted>2011-08-23T20:54:00Z</cp:lastPrinted>
  <dcterms:created xsi:type="dcterms:W3CDTF">2014-08-07T21:03:00Z</dcterms:created>
  <dcterms:modified xsi:type="dcterms:W3CDTF">2015-09-11T14:40:00Z</dcterms:modified>
</cp:coreProperties>
</file>